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14D15">
      <w:pPr>
        <w:ind w:firstLine="260" w:firstLineChars="50"/>
        <w:jc w:val="center"/>
        <w:rPr>
          <w:rFonts w:hint="eastAsia" w:ascii="方正小标宋简体" w:eastAsia="方正小标宋简体"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3E70C9C3">
      <w:pPr>
        <w:ind w:firstLine="260" w:firstLineChars="50"/>
        <w:jc w:val="center"/>
        <w:rPr>
          <w:rFonts w:hint="eastAsia" w:ascii="方正小标宋简体" w:eastAsia="方正小标宋简体"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6AD023FE">
      <w:pPr>
        <w:ind w:firstLine="260" w:firstLineChars="50"/>
        <w:jc w:val="center"/>
        <w:rPr>
          <w:rFonts w:hint="eastAsia" w:ascii="方正小标宋简体" w:eastAsia="方正小标宋简体"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22AC81DB">
      <w:pPr>
        <w:ind w:firstLine="260" w:firstLineChars="50"/>
        <w:jc w:val="center"/>
        <w:rPr>
          <w:rFonts w:hint="eastAsia" w:ascii="方正小标宋简体" w:eastAsia="方正小标宋简体"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2F839075">
      <w:pPr>
        <w:ind w:firstLine="260" w:firstLineChars="50"/>
        <w:jc w:val="center"/>
        <w:rPr>
          <w:rFonts w:ascii="方正小标宋简体" w:eastAsia="方正小标宋简体"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《</w:t>
      </w:r>
      <w:r>
        <w:rPr>
          <w:rFonts w:hint="default" w:ascii="方正小标宋简体" w:eastAsia="方正小标宋简体"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防腐木材化学分析前的消解方法</w:t>
      </w:r>
      <w:r>
        <w:rPr>
          <w:rFonts w:hint="eastAsia" w:ascii="方正小标宋简体" w:eastAsia="方正小标宋简体"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》</w:t>
      </w:r>
    </w:p>
    <w:p w14:paraId="00A26CB8">
      <w:pPr>
        <w:ind w:firstLine="260" w:firstLineChars="50"/>
        <w:jc w:val="center"/>
        <w:rPr>
          <w:rFonts w:ascii="方正小标宋简体" w:eastAsia="方正小标宋简体"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行业标准编制说明</w:t>
      </w:r>
    </w:p>
    <w:p w14:paraId="72316DA3">
      <w:pPr>
        <w:jc w:val="center"/>
        <w:rPr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6D47F927">
      <w:pPr>
        <w:jc w:val="center"/>
        <w:rPr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（征求意见稿）</w:t>
      </w:r>
    </w:p>
    <w:p w14:paraId="4D7F5F17">
      <w:pPr>
        <w:rPr>
          <w:rFonts w:hint="eastAsia" w:ascii="宋体" w:hAnsi="宋体" w:eastAsia="宋体" w:cs="宋体"/>
          <w:sz w:val="24"/>
          <w:szCs w:val="24"/>
        </w:rPr>
      </w:pPr>
    </w:p>
    <w:p w14:paraId="05CAF858">
      <w:pPr>
        <w:rPr>
          <w:rFonts w:hint="eastAsia" w:ascii="宋体" w:hAnsi="宋体" w:eastAsia="宋体" w:cs="宋体"/>
          <w:sz w:val="24"/>
          <w:szCs w:val="24"/>
        </w:rPr>
      </w:pPr>
    </w:p>
    <w:p w14:paraId="712B11F3">
      <w:pPr>
        <w:rPr>
          <w:rFonts w:hint="eastAsia" w:ascii="宋体" w:hAnsi="宋体" w:eastAsia="宋体" w:cs="宋体"/>
          <w:sz w:val="24"/>
          <w:szCs w:val="24"/>
        </w:rPr>
      </w:pPr>
    </w:p>
    <w:p w14:paraId="172CAA05">
      <w:pPr>
        <w:rPr>
          <w:rFonts w:hint="eastAsia" w:ascii="宋体" w:hAnsi="宋体" w:eastAsia="宋体" w:cs="宋体"/>
          <w:sz w:val="24"/>
          <w:szCs w:val="24"/>
        </w:rPr>
      </w:pPr>
    </w:p>
    <w:p w14:paraId="42AF0E72">
      <w:pPr>
        <w:rPr>
          <w:rFonts w:hint="eastAsia" w:ascii="宋体" w:hAnsi="宋体" w:eastAsia="宋体" w:cs="宋体"/>
          <w:sz w:val="24"/>
          <w:szCs w:val="24"/>
        </w:rPr>
      </w:pPr>
    </w:p>
    <w:p w14:paraId="02391D05">
      <w:pPr>
        <w:rPr>
          <w:rFonts w:hint="eastAsia" w:ascii="宋体" w:hAnsi="宋体" w:eastAsia="宋体" w:cs="宋体"/>
          <w:sz w:val="24"/>
          <w:szCs w:val="24"/>
        </w:rPr>
      </w:pPr>
    </w:p>
    <w:p w14:paraId="47D109BB">
      <w:pPr>
        <w:rPr>
          <w:rFonts w:hint="eastAsia" w:ascii="宋体" w:hAnsi="宋体" w:eastAsia="宋体" w:cs="宋体"/>
          <w:sz w:val="24"/>
          <w:szCs w:val="24"/>
        </w:rPr>
      </w:pPr>
    </w:p>
    <w:p w14:paraId="31120329">
      <w:pPr>
        <w:rPr>
          <w:rFonts w:hint="eastAsia" w:ascii="宋体" w:hAnsi="宋体" w:eastAsia="宋体" w:cs="宋体"/>
          <w:sz w:val="24"/>
          <w:szCs w:val="24"/>
        </w:rPr>
      </w:pPr>
    </w:p>
    <w:p w14:paraId="185D25DC">
      <w:pPr>
        <w:rPr>
          <w:rFonts w:hint="eastAsia" w:ascii="宋体" w:hAnsi="宋体" w:eastAsia="宋体" w:cs="宋体"/>
          <w:sz w:val="24"/>
          <w:szCs w:val="24"/>
        </w:rPr>
      </w:pPr>
    </w:p>
    <w:p w14:paraId="68D3E87D">
      <w:pPr>
        <w:rPr>
          <w:rFonts w:hint="eastAsia" w:ascii="宋体" w:hAnsi="宋体" w:eastAsia="宋体" w:cs="宋体"/>
          <w:sz w:val="24"/>
          <w:szCs w:val="24"/>
        </w:rPr>
      </w:pPr>
    </w:p>
    <w:p w14:paraId="4146C531">
      <w:pPr>
        <w:rPr>
          <w:rFonts w:hint="eastAsia" w:ascii="宋体" w:hAnsi="宋体" w:eastAsia="宋体" w:cs="宋体"/>
          <w:sz w:val="24"/>
          <w:szCs w:val="24"/>
        </w:rPr>
      </w:pPr>
    </w:p>
    <w:p w14:paraId="40C83287">
      <w:pPr>
        <w:rPr>
          <w:rFonts w:hint="eastAsia" w:ascii="宋体" w:hAnsi="宋体" w:eastAsia="宋体" w:cs="宋体"/>
          <w:sz w:val="24"/>
          <w:szCs w:val="24"/>
        </w:rPr>
      </w:pPr>
    </w:p>
    <w:p w14:paraId="76FFA423">
      <w:pPr>
        <w:rPr>
          <w:rFonts w:hint="eastAsia" w:ascii="宋体" w:hAnsi="宋体" w:eastAsia="宋体" w:cs="宋体"/>
          <w:sz w:val="24"/>
          <w:szCs w:val="24"/>
        </w:rPr>
      </w:pPr>
    </w:p>
    <w:p w14:paraId="7F588EC7">
      <w:pPr>
        <w:rPr>
          <w:rFonts w:hint="eastAsia" w:ascii="宋体" w:hAnsi="宋体" w:eastAsia="宋体" w:cs="宋体"/>
          <w:sz w:val="24"/>
          <w:szCs w:val="24"/>
        </w:rPr>
      </w:pPr>
    </w:p>
    <w:p w14:paraId="09BD45F2">
      <w:pPr>
        <w:ind w:firstLine="120" w:firstLineChars="50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45B02687">
      <w:pPr>
        <w:ind w:firstLine="260" w:firstLineChars="50"/>
        <w:jc w:val="center"/>
        <w:rPr>
          <w:rFonts w:hint="eastAsia" w:ascii="方正小标宋简体" w:eastAsia="方正小标宋简体"/>
          <w:bCs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bCs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2025年8月</w:t>
      </w:r>
    </w:p>
    <w:p w14:paraId="06E782E8">
      <w:pPr>
        <w:ind w:firstLine="260" w:firstLineChars="50"/>
        <w:jc w:val="center"/>
        <w:rPr>
          <w:rFonts w:hint="eastAsia" w:ascii="方正小标宋简体" w:eastAsia="方正小标宋简体"/>
          <w:bCs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</w:pPr>
    </w:p>
    <w:p w14:paraId="0A81271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20" w:afterAutospacing="0"/>
        <w:ind w:left="0" w:right="0" w:firstLine="3602" w:firstLineChars="1000"/>
        <w:textAlignment w:val="baseline"/>
        <w:rPr>
          <w:rFonts w:hint="default" w:ascii="Arial" w:hAnsi="Arial" w:eastAsia="Arial" w:cs="Arial"/>
          <w:b/>
          <w:bCs/>
          <w:i w:val="0"/>
          <w:iCs w:val="0"/>
          <w:caps w:val="0"/>
          <w:spacing w:val="0"/>
          <w:u w:val="none"/>
          <w:vertAlign w:val="baseline"/>
        </w:rPr>
      </w:pPr>
      <w:r>
        <w:rPr>
          <w:rFonts w:hint="default" w:ascii="Arial" w:hAnsi="Arial" w:eastAsia="Arial" w:cs="Arial"/>
          <w:b/>
          <w:bCs/>
          <w:i w:val="0"/>
          <w:iCs w:val="0"/>
          <w:caps w:val="0"/>
          <w:spacing w:val="0"/>
          <w:u w:val="none"/>
          <w:vertAlign w:val="baseline"/>
        </w:rPr>
        <w:t>目录</w:t>
      </w:r>
    </w:p>
    <w:p w14:paraId="6DFFB6BC">
      <w:pPr>
        <w:rPr>
          <w:rFonts w:hint="default" w:ascii="Arial" w:hAnsi="Arial" w:eastAsia="Arial" w:cs="Arial"/>
          <w:b/>
          <w:bCs/>
          <w:i w:val="0"/>
          <w:iCs w:val="0"/>
          <w:caps w:val="0"/>
          <w:spacing w:val="0"/>
          <w:u w:val="none"/>
          <w:vertAlign w:val="baseline"/>
        </w:rPr>
      </w:pPr>
    </w:p>
    <w:p w14:paraId="5BC67E4E">
      <w:pPr>
        <w:rPr>
          <w:rFonts w:hint="default" w:ascii="Arial" w:hAnsi="Arial" w:eastAsia="Arial" w:cs="Arial"/>
          <w:b/>
          <w:bCs/>
          <w:i w:val="0"/>
          <w:iCs w:val="0"/>
          <w:caps w:val="0"/>
          <w:spacing w:val="0"/>
          <w:u w:val="none"/>
          <w:vertAlign w:val="baseline"/>
        </w:rPr>
      </w:pPr>
    </w:p>
    <w:p w14:paraId="2E50DB61">
      <w:pPr>
        <w:pStyle w:val="8"/>
        <w:tabs>
          <w:tab w:val="right" w:leader="dot" w:pos="9468"/>
        </w:tabs>
        <w:ind w:left="0" w:leftChars="0" w:firstLine="0" w:firstLineChars="0"/>
        <w:rPr>
          <w:rFonts w:hint="default" w:ascii="Times New Roman"/>
          <w:sz w:val="28"/>
          <w:szCs w:val="32"/>
          <w:lang w:val="en-US" w:eastAsia="zh-CN"/>
        </w:rPr>
      </w:pPr>
      <w:r>
        <w:rPr>
          <w:rFonts w:hint="default" w:ascii="Times New Roman"/>
          <w:sz w:val="28"/>
          <w:szCs w:val="32"/>
          <w:lang w:val="en-US" w:eastAsia="zh-CN"/>
        </w:rPr>
        <w:t xml:space="preserve">1 标准编制工作简况 ………………………………………………… </w:t>
      </w:r>
      <w:r>
        <w:rPr>
          <w:rFonts w:hint="eastAsia" w:ascii="Times New Roman"/>
          <w:sz w:val="28"/>
          <w:szCs w:val="32"/>
          <w:lang w:val="en-US" w:eastAsia="zh-CN"/>
        </w:rPr>
        <w:t>3</w:t>
      </w:r>
      <w:r>
        <w:rPr>
          <w:rFonts w:hint="default" w:ascii="Times New Roman"/>
          <w:sz w:val="28"/>
          <w:szCs w:val="32"/>
          <w:lang w:val="en-US" w:eastAsia="zh-CN"/>
        </w:rPr>
        <w:br w:type="textWrapping"/>
      </w:r>
      <w:r>
        <w:rPr>
          <w:rFonts w:hint="default" w:ascii="Times New Roman"/>
          <w:sz w:val="28"/>
          <w:szCs w:val="32"/>
          <w:lang w:val="en-US" w:eastAsia="zh-CN"/>
        </w:rPr>
        <w:t xml:space="preserve">2 标准修订的原则和主要内容 ……………………………………… </w:t>
      </w:r>
      <w:r>
        <w:rPr>
          <w:rFonts w:hint="eastAsia" w:ascii="Times New Roman"/>
          <w:sz w:val="28"/>
          <w:szCs w:val="32"/>
          <w:lang w:val="en-US" w:eastAsia="zh-CN"/>
        </w:rPr>
        <w:t>4</w:t>
      </w:r>
      <w:r>
        <w:rPr>
          <w:rFonts w:hint="default" w:ascii="Times New Roman"/>
          <w:sz w:val="28"/>
          <w:szCs w:val="32"/>
          <w:lang w:val="en-US" w:eastAsia="zh-CN"/>
        </w:rPr>
        <w:br w:type="textWrapping"/>
      </w:r>
      <w:r>
        <w:rPr>
          <w:rFonts w:hint="default" w:ascii="Times New Roman"/>
          <w:sz w:val="28"/>
          <w:szCs w:val="32"/>
          <w:lang w:val="en-US" w:eastAsia="zh-CN"/>
        </w:rPr>
        <w:t xml:space="preserve">3 标准中涉及专利、知识产权情况说明 …………………………… </w:t>
      </w:r>
      <w:r>
        <w:rPr>
          <w:rFonts w:hint="eastAsia" w:ascii="Times New Roman"/>
          <w:sz w:val="28"/>
          <w:szCs w:val="32"/>
          <w:lang w:val="en-US" w:eastAsia="zh-CN"/>
        </w:rPr>
        <w:t>4</w:t>
      </w:r>
      <w:r>
        <w:rPr>
          <w:rFonts w:hint="default" w:ascii="Times New Roman"/>
          <w:sz w:val="28"/>
          <w:szCs w:val="32"/>
          <w:lang w:val="en-US" w:eastAsia="zh-CN"/>
        </w:rPr>
        <w:br w:type="textWrapping"/>
      </w:r>
      <w:r>
        <w:rPr>
          <w:rFonts w:hint="eastAsia" w:ascii="Times New Roman"/>
          <w:sz w:val="28"/>
          <w:szCs w:val="32"/>
          <w:lang w:val="en-US" w:eastAsia="zh-CN"/>
        </w:rPr>
        <w:t>4</w:t>
      </w:r>
      <w:r>
        <w:rPr>
          <w:rFonts w:hint="default" w:ascii="Times New Roman"/>
          <w:sz w:val="28"/>
          <w:szCs w:val="32"/>
          <w:lang w:val="en-US" w:eastAsia="zh-CN"/>
        </w:rPr>
        <w:t xml:space="preserve"> 与现行法律法规及相关标准的协调性 …………………………… </w:t>
      </w:r>
      <w:r>
        <w:rPr>
          <w:rFonts w:hint="eastAsia" w:ascii="Times New Roman"/>
          <w:sz w:val="28"/>
          <w:szCs w:val="32"/>
          <w:lang w:val="en-US" w:eastAsia="zh-CN"/>
        </w:rPr>
        <w:t>4</w:t>
      </w:r>
      <w:r>
        <w:rPr>
          <w:rFonts w:hint="default" w:ascii="Times New Roman"/>
          <w:sz w:val="28"/>
          <w:szCs w:val="32"/>
          <w:lang w:val="en-US" w:eastAsia="zh-CN"/>
        </w:rPr>
        <w:br w:type="textWrapping"/>
      </w:r>
      <w:r>
        <w:rPr>
          <w:rFonts w:hint="eastAsia" w:ascii="Times New Roman"/>
          <w:sz w:val="28"/>
          <w:szCs w:val="32"/>
          <w:lang w:val="en-US" w:eastAsia="zh-CN"/>
        </w:rPr>
        <w:t>5</w:t>
      </w:r>
      <w:r>
        <w:rPr>
          <w:rFonts w:hint="default" w:ascii="Times New Roman"/>
          <w:sz w:val="28"/>
          <w:szCs w:val="32"/>
          <w:lang w:val="en-US" w:eastAsia="zh-CN"/>
        </w:rPr>
        <w:t xml:space="preserve"> 重大意见分歧的处理依据和结果 ………………………………… </w:t>
      </w:r>
      <w:r>
        <w:rPr>
          <w:rFonts w:hint="eastAsia" w:ascii="Times New Roman"/>
          <w:sz w:val="28"/>
          <w:szCs w:val="32"/>
          <w:lang w:val="en-US" w:eastAsia="zh-CN"/>
        </w:rPr>
        <w:t>5</w:t>
      </w:r>
      <w:r>
        <w:rPr>
          <w:rFonts w:hint="default" w:ascii="Times New Roman"/>
          <w:sz w:val="28"/>
          <w:szCs w:val="32"/>
          <w:lang w:val="en-US" w:eastAsia="zh-CN"/>
        </w:rPr>
        <w:br w:type="textWrapping"/>
      </w:r>
      <w:r>
        <w:rPr>
          <w:rFonts w:hint="eastAsia" w:ascii="Times New Roman"/>
          <w:sz w:val="28"/>
          <w:szCs w:val="32"/>
          <w:lang w:val="en-US" w:eastAsia="zh-CN"/>
        </w:rPr>
        <w:t>6</w:t>
      </w:r>
      <w:r>
        <w:rPr>
          <w:rFonts w:hint="default" w:ascii="Times New Roman"/>
          <w:sz w:val="28"/>
          <w:szCs w:val="32"/>
          <w:lang w:val="en-US" w:eastAsia="zh-CN"/>
        </w:rPr>
        <w:t xml:space="preserve"> 标准性质的建议说明 ……………………………………………… </w:t>
      </w:r>
      <w:r>
        <w:rPr>
          <w:rFonts w:hint="eastAsia" w:ascii="Times New Roman"/>
          <w:sz w:val="28"/>
          <w:szCs w:val="32"/>
          <w:lang w:val="en-US" w:eastAsia="zh-CN"/>
        </w:rPr>
        <w:t>5</w:t>
      </w:r>
      <w:r>
        <w:rPr>
          <w:rFonts w:hint="default" w:ascii="Times New Roman"/>
          <w:sz w:val="28"/>
          <w:szCs w:val="32"/>
          <w:lang w:val="en-US" w:eastAsia="zh-CN"/>
        </w:rPr>
        <w:br w:type="textWrapping"/>
      </w:r>
      <w:r>
        <w:rPr>
          <w:rFonts w:hint="eastAsia" w:ascii="Times New Roman"/>
          <w:sz w:val="28"/>
          <w:szCs w:val="32"/>
          <w:lang w:val="en-US" w:eastAsia="zh-CN"/>
        </w:rPr>
        <w:t>7</w:t>
      </w:r>
      <w:r>
        <w:rPr>
          <w:rFonts w:hint="default" w:ascii="Times New Roman"/>
          <w:sz w:val="28"/>
          <w:szCs w:val="32"/>
          <w:lang w:val="en-US" w:eastAsia="zh-CN"/>
        </w:rPr>
        <w:t xml:space="preserve"> 贯彻标准的措施建议 ……………………………………………… </w:t>
      </w:r>
      <w:r>
        <w:rPr>
          <w:rFonts w:hint="eastAsia" w:ascii="Times New Roman"/>
          <w:sz w:val="28"/>
          <w:szCs w:val="32"/>
          <w:lang w:val="en-US" w:eastAsia="zh-CN"/>
        </w:rPr>
        <w:t>5</w:t>
      </w:r>
      <w:r>
        <w:rPr>
          <w:rFonts w:hint="default" w:ascii="Times New Roman"/>
          <w:sz w:val="28"/>
          <w:szCs w:val="32"/>
          <w:lang w:val="en-US" w:eastAsia="zh-CN"/>
        </w:rPr>
        <w:br w:type="textWrapping"/>
      </w:r>
      <w:r>
        <w:rPr>
          <w:rFonts w:hint="eastAsia" w:ascii="Times New Roman"/>
          <w:sz w:val="28"/>
          <w:szCs w:val="32"/>
          <w:lang w:val="en-US" w:eastAsia="zh-CN"/>
        </w:rPr>
        <w:t>8</w:t>
      </w:r>
      <w:r>
        <w:rPr>
          <w:rFonts w:hint="default" w:ascii="Times New Roman"/>
          <w:sz w:val="28"/>
          <w:szCs w:val="32"/>
          <w:lang w:val="en-US" w:eastAsia="zh-CN"/>
        </w:rPr>
        <w:t xml:space="preserve"> 废止现行有关标准的建议 …………………………………………</w:t>
      </w:r>
      <w:r>
        <w:rPr>
          <w:rFonts w:hint="eastAsia" w:ascii="Times New Roman"/>
          <w:sz w:val="28"/>
          <w:szCs w:val="32"/>
          <w:lang w:val="en-US" w:eastAsia="zh-CN"/>
        </w:rPr>
        <w:t xml:space="preserve"> 6</w:t>
      </w:r>
      <w:r>
        <w:rPr>
          <w:rFonts w:hint="default" w:ascii="Times New Roman"/>
          <w:sz w:val="28"/>
          <w:szCs w:val="32"/>
          <w:lang w:val="en-US" w:eastAsia="zh-CN"/>
        </w:rPr>
        <w:br w:type="textWrapping"/>
      </w:r>
      <w:r>
        <w:rPr>
          <w:rFonts w:hint="eastAsia" w:ascii="Times New Roman"/>
          <w:sz w:val="28"/>
          <w:szCs w:val="32"/>
          <w:lang w:val="en-US" w:eastAsia="zh-CN"/>
        </w:rPr>
        <w:t>9</w:t>
      </w:r>
      <w:r>
        <w:rPr>
          <w:rFonts w:hint="default" w:ascii="Times New Roman"/>
          <w:sz w:val="28"/>
          <w:szCs w:val="32"/>
          <w:lang w:val="en-US" w:eastAsia="zh-CN"/>
        </w:rPr>
        <w:t xml:space="preserve"> 其他应说明的事项 ………………………………………………… </w:t>
      </w:r>
      <w:r>
        <w:rPr>
          <w:rFonts w:hint="eastAsia" w:ascii="Times New Roman"/>
          <w:sz w:val="28"/>
          <w:szCs w:val="32"/>
          <w:lang w:val="en-US" w:eastAsia="zh-CN"/>
        </w:rPr>
        <w:t>6</w:t>
      </w:r>
    </w:p>
    <w:p w14:paraId="64073393">
      <w:pPr>
        <w:rPr>
          <w:rFonts w:hint="default" w:ascii="Times New Roman"/>
          <w:sz w:val="28"/>
          <w:szCs w:val="32"/>
          <w:lang w:val="en-US" w:eastAsia="zh-CN"/>
        </w:rPr>
      </w:pPr>
    </w:p>
    <w:p w14:paraId="77026985">
      <w:pPr>
        <w:rPr>
          <w:rFonts w:hint="default" w:ascii="Times New Roman"/>
          <w:sz w:val="28"/>
          <w:szCs w:val="32"/>
          <w:lang w:val="en-US" w:eastAsia="zh-CN"/>
        </w:rPr>
      </w:pPr>
    </w:p>
    <w:p w14:paraId="1F9650F0">
      <w:pPr>
        <w:rPr>
          <w:rFonts w:hint="default" w:ascii="Times New Roman"/>
          <w:sz w:val="28"/>
          <w:szCs w:val="32"/>
          <w:lang w:val="en-US" w:eastAsia="zh-CN"/>
        </w:rPr>
      </w:pPr>
    </w:p>
    <w:p w14:paraId="2560B9C4">
      <w:pPr>
        <w:rPr>
          <w:rFonts w:hint="default" w:ascii="Times New Roman"/>
          <w:sz w:val="28"/>
          <w:szCs w:val="32"/>
          <w:lang w:val="en-US" w:eastAsia="zh-CN"/>
        </w:rPr>
      </w:pPr>
    </w:p>
    <w:p w14:paraId="4B3575DF">
      <w:pPr>
        <w:rPr>
          <w:rFonts w:hint="default" w:ascii="Times New Roman"/>
          <w:sz w:val="28"/>
          <w:szCs w:val="32"/>
          <w:lang w:val="en-US" w:eastAsia="zh-CN"/>
        </w:rPr>
      </w:pPr>
    </w:p>
    <w:p w14:paraId="351B5767">
      <w:pPr>
        <w:rPr>
          <w:rFonts w:hint="default" w:ascii="Times New Roman"/>
          <w:sz w:val="28"/>
          <w:szCs w:val="32"/>
          <w:lang w:val="en-US" w:eastAsia="zh-CN"/>
        </w:rPr>
      </w:pPr>
    </w:p>
    <w:p w14:paraId="6A5562C5">
      <w:pPr>
        <w:rPr>
          <w:rFonts w:hint="default" w:ascii="Times New Roman"/>
          <w:sz w:val="28"/>
          <w:szCs w:val="32"/>
          <w:lang w:val="en-US" w:eastAsia="zh-CN"/>
        </w:rPr>
      </w:pPr>
    </w:p>
    <w:p w14:paraId="32655B44">
      <w:pPr>
        <w:rPr>
          <w:rFonts w:hint="default" w:ascii="Times New Roman"/>
          <w:sz w:val="28"/>
          <w:szCs w:val="32"/>
          <w:lang w:val="en-US" w:eastAsia="zh-CN"/>
        </w:rPr>
      </w:pPr>
    </w:p>
    <w:p w14:paraId="088AFBCE">
      <w:pPr>
        <w:rPr>
          <w:rFonts w:hint="default" w:ascii="Times New Roman"/>
          <w:sz w:val="28"/>
          <w:szCs w:val="32"/>
          <w:lang w:val="en-US" w:eastAsia="zh-CN"/>
        </w:rPr>
      </w:pPr>
    </w:p>
    <w:p w14:paraId="0A359AEB">
      <w:pPr>
        <w:rPr>
          <w:rFonts w:hint="default" w:ascii="Times New Roman"/>
          <w:sz w:val="28"/>
          <w:szCs w:val="32"/>
          <w:lang w:val="en-US" w:eastAsia="zh-CN"/>
        </w:rPr>
      </w:pPr>
    </w:p>
    <w:p w14:paraId="31E1E20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20" w:afterAutospacing="0"/>
        <w:ind w:left="0" w:right="0" w:firstLine="0"/>
        <w:textAlignment w:val="baseline"/>
        <w:rPr>
          <w:rFonts w:hint="default" w:ascii="Arial" w:hAnsi="Arial" w:eastAsia="Arial" w:cs="Arial"/>
          <w:b/>
          <w:bCs/>
          <w:i w:val="0"/>
          <w:iCs w:val="0"/>
          <w:caps w:val="0"/>
          <w:spacing w:val="0"/>
          <w:u w:val="none"/>
          <w:vertAlign w:val="baseline"/>
        </w:rPr>
      </w:pPr>
    </w:p>
    <w:p w14:paraId="05177D1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20" w:afterAutospacing="0"/>
        <w:ind w:left="0" w:right="0" w:firstLine="0"/>
        <w:textAlignment w:val="baseline"/>
        <w:rPr>
          <w:rFonts w:ascii="Arial" w:hAnsi="Arial" w:eastAsia="Arial" w:cs="Arial"/>
          <w:b/>
          <w:bCs/>
          <w:i w:val="0"/>
          <w:iCs w:val="0"/>
          <w:caps w:val="0"/>
          <w:spacing w:val="0"/>
          <w:u w:val="none"/>
        </w:rPr>
      </w:pPr>
      <w:r>
        <w:rPr>
          <w:rFonts w:hint="default" w:ascii="Arial" w:hAnsi="Arial" w:eastAsia="Arial" w:cs="Arial"/>
          <w:b/>
          <w:bCs/>
          <w:i w:val="0"/>
          <w:iCs w:val="0"/>
          <w:caps w:val="0"/>
          <w:spacing w:val="0"/>
          <w:u w:val="none"/>
          <w:vertAlign w:val="baseline"/>
        </w:rPr>
        <w:t xml:space="preserve">1 </w:t>
      </w:r>
      <w:r>
        <w:rPr>
          <w:rFonts w:hint="eastAsia" w:ascii="STHeiti Bold" w:hAnsi="STHeiti Bold" w:eastAsia="STHeiti Bold" w:cs="STHeiti Bold"/>
          <w:b/>
          <w:bCs/>
          <w:i w:val="0"/>
          <w:iCs w:val="0"/>
          <w:caps w:val="0"/>
          <w:spacing w:val="0"/>
          <w:sz w:val="28"/>
          <w:szCs w:val="28"/>
          <w:u w:val="none"/>
          <w:vertAlign w:val="baseline"/>
        </w:rPr>
        <w:t>标准编制工作简况</w:t>
      </w:r>
    </w:p>
    <w:p w14:paraId="5F04CFE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2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4"/>
          <w:szCs w:val="24"/>
          <w:u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4"/>
          <w:szCs w:val="24"/>
          <w:u w:val="none"/>
          <w:vertAlign w:val="baseline"/>
        </w:rPr>
        <w:t>1.1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u w:val="none"/>
          <w:vertAlign w:val="baseline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4"/>
          <w:szCs w:val="24"/>
          <w:u w:val="none"/>
          <w:vertAlign w:val="baseline"/>
        </w:rPr>
        <w:t>任务来源</w:t>
      </w:r>
    </w:p>
    <w:p w14:paraId="3AE01FDD">
      <w:pPr>
        <w:spacing w:line="360" w:lineRule="auto"/>
        <w:ind w:firstLine="480" w:firstLineChars="200"/>
        <w:jc w:val="both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根据《工业和信息化部办公厅关于印发 2024 年第一批行业标准制修订计划的通知》（工信厅科〔2024〕18 号），《防腐木材化学分析前的消解方法》已列入行业标准项目计划（计划编号：2024-0418T-JC），技术归口单位为建材工业综合标准化技术委员会，起草工作由木材节约发展中心、国家木材与木制品性能质量检验检测中心等单位负责。</w:t>
      </w:r>
    </w:p>
    <w:p w14:paraId="1A8EEA00">
      <w:pPr>
        <w:pStyle w:val="13"/>
        <w:numPr>
          <w:ilvl w:val="0"/>
          <w:numId w:val="0"/>
        </w:numPr>
        <w:snapToGrid w:val="0"/>
        <w:spacing w:before="163" w:beforeLines="50" w:after="163" w:afterLines="50" w:line="500" w:lineRule="exact"/>
        <w:ind w:leftChars="0"/>
        <w:rPr>
          <w:rFonts w:hint="default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1.2 起草单位</w:t>
      </w:r>
    </w:p>
    <w:p w14:paraId="550EFC41">
      <w:pPr>
        <w:spacing w:line="360" w:lineRule="auto"/>
        <w:ind w:firstLine="480" w:firstLineChars="200"/>
        <w:jc w:val="both"/>
        <w:rPr>
          <w:rFonts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本标准由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木材节约发展中心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负责</w:t>
      </w:r>
      <w:r>
        <w:rPr>
          <w:rFonts w:hint="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起草，形成《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防腐木材及木材防腐剂取样方法</w:t>
      </w:r>
      <w:r>
        <w:rPr>
          <w:rFonts w:hint="eastAsia" w:eastAsiaTheme="majorEastAsia"/>
          <w:color w:val="000000" w:themeColor="text1"/>
          <w14:textFill>
            <w14:solidFill>
              <w14:schemeClr w14:val="tx1"/>
            </w14:solidFill>
          </w14:textFill>
        </w:rPr>
        <w:t>》标准的编制组。标准编制组分工如下：</w:t>
      </w:r>
    </w:p>
    <w:p w14:paraId="45E2B924">
      <w:pPr>
        <w:spacing w:line="360" w:lineRule="auto"/>
        <w:ind w:firstLine="480" w:firstLineChars="200"/>
        <w:jc w:val="both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（1）木材节约发展中心：主要负责标准立项、标准讨论会组织及筹备。主要负责标准立项、标准讨论会组织及筹备、行业征求意见汇总等。</w:t>
      </w:r>
    </w:p>
    <w:p w14:paraId="08BF7AF5">
      <w:pPr>
        <w:spacing w:line="360" w:lineRule="auto"/>
        <w:ind w:firstLine="480" w:firstLineChars="200"/>
        <w:jc w:val="both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（2）木材节约发展中心所属实验室（国家木材与木制品性能质量检验检测中心）：负责开展相关调研、验证工作，标准相关文献搜集，标准正文的编写及修改，为本标准修订提供技术</w:t>
      </w:r>
      <w:bookmarkStart w:id="2" w:name="_GoBack"/>
      <w:bookmarkEnd w:id="2"/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支持。</w:t>
      </w:r>
    </w:p>
    <w:p w14:paraId="28291191">
      <w:pPr>
        <w:spacing w:line="360" w:lineRule="auto"/>
        <w:ind w:firstLine="480" w:firstLineChars="200"/>
        <w:jc w:val="both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40E2BBD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20" w:afterAutospacing="0"/>
        <w:ind w:left="0" w:right="0" w:firstLine="0"/>
        <w:textAlignment w:val="baseline"/>
        <w:rPr>
          <w:rFonts w:ascii="Arial" w:hAnsi="Arial" w:eastAsia="Arial" w:cs="Arial"/>
          <w:b/>
          <w:bCs/>
          <w:i w:val="0"/>
          <w:iCs w:val="0"/>
          <w:caps w:val="0"/>
          <w:spacing w:val="0"/>
          <w:u w:val="none"/>
        </w:rPr>
      </w:pPr>
      <w:r>
        <w:rPr>
          <w:rFonts w:hint="default" w:ascii="Arial" w:hAnsi="Arial" w:eastAsia="Arial" w:cs="Arial"/>
          <w:b/>
          <w:bCs/>
          <w:i w:val="0"/>
          <w:iCs w:val="0"/>
          <w:caps w:val="0"/>
          <w:spacing w:val="0"/>
          <w:u w:val="none"/>
          <w:vertAlign w:val="baseline"/>
        </w:rPr>
        <w:t>1.3 标准编制背景及必要性</w:t>
      </w:r>
    </w:p>
    <w:p w14:paraId="6213A54C">
      <w:pPr>
        <w:spacing w:line="360" w:lineRule="auto"/>
        <w:ind w:firstLine="480" w:firstLineChars="200"/>
        <w:jc w:val="both"/>
        <w:rPr>
          <w:rFonts w:hint="default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现行 SB/T 10405-2006《防腐木材化学分析前的湿灰化方法》实施 18 年以来，在防腐木材、防腐剂有效成分检测</w:t>
      </w:r>
      <w:r>
        <w:rPr>
          <w:rFonts w:hint="eastAsia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及防腐木材产品质量评价</w:t>
      </w: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方面发挥了重要作用。 </w:t>
      </w:r>
      <w:r>
        <w:rPr>
          <w:rFonts w:hint="eastAsia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目前我国防腐木材行业产品仍以</w:t>
      </w: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CCA、ACQ、CA-B、CuAz 等防腐剂</w:t>
      </w:r>
      <w:r>
        <w:rPr>
          <w:rFonts w:hint="eastAsia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处理为主</w:t>
      </w: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，传统湿灰化法在消解效率、操作安全、环保等方面逐渐暴露出不足；同时，微波消解技术已在国内</w:t>
      </w:r>
      <w:r>
        <w:rPr>
          <w:rFonts w:hint="eastAsia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多个领域应用</w:t>
      </w: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如食品、化妆品、环境监测等，技术较为成熟。现将该技术应用在木材消解，</w:t>
      </w: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亟需以标准形式予以固化。</w:t>
      </w:r>
    </w:p>
    <w:p w14:paraId="6C8B07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20" w:afterAutospacing="0" w:line="360" w:lineRule="auto"/>
        <w:ind w:left="0" w:right="0" w:firstLine="480" w:firstLineChars="200"/>
        <w:jc w:val="left"/>
        <w:textAlignment w:val="baseline"/>
      </w:pPr>
      <w:r>
        <w:rPr>
          <w:rFonts w:hint="default" w:ascii="Arial" w:hAnsi="Arial" w:eastAsia="Arial" w:cs="Arial"/>
          <w:i w:val="0"/>
          <w:iCs w:val="0"/>
          <w:caps w:val="0"/>
          <w:spacing w:val="0"/>
          <w:kern w:val="0"/>
          <w:sz w:val="24"/>
          <w:szCs w:val="24"/>
          <w:u w:val="none"/>
          <w:vertAlign w:val="baseline"/>
          <w:lang w:val="en-US" w:eastAsia="zh-CN" w:bidi="ar"/>
        </w:rPr>
        <w:t>修订后的标准将：</w:t>
      </w: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为企业提供安全、高效、绿色的前处理技术路径；为《水载型防腐剂和阻燃剂主要成分的测定》等配套检测标准提供方法支撑。</w:t>
      </w:r>
    </w:p>
    <w:p w14:paraId="1ACEEB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20" w:afterAutospacing="0"/>
        <w:ind w:left="0" w:right="0" w:firstLine="0"/>
        <w:textAlignment w:val="baseline"/>
        <w:rPr>
          <w:rFonts w:hint="default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4"/>
          <w:szCs w:val="24"/>
          <w:u w:val="none"/>
          <w:vertAlign w:val="baseline"/>
        </w:rPr>
      </w:pPr>
      <w:r>
        <w:rPr>
          <w:rFonts w:hint="default" w:ascii="STHeiti Bold" w:hAnsi="STHeiti Bold" w:eastAsia="STHeiti Bold" w:cs="STHeiti Bold"/>
          <w:b/>
          <w:bCs/>
          <w:i w:val="0"/>
          <w:iCs w:val="0"/>
          <w:caps w:val="0"/>
          <w:spacing w:val="0"/>
          <w:sz w:val="28"/>
          <w:szCs w:val="28"/>
          <w:u w:val="none"/>
          <w:vertAlign w:val="baseline"/>
        </w:rPr>
        <w:t>2 标准修订的原则和主要内容</w:t>
      </w:r>
    </w:p>
    <w:p w14:paraId="5D38F59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20" w:afterAutospacing="0"/>
        <w:ind w:left="0" w:right="0" w:firstLine="0"/>
        <w:jc w:val="left"/>
        <w:textAlignment w:val="baseline"/>
      </w:pPr>
      <w:r>
        <w:rPr>
          <w:rFonts w:hint="default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4"/>
          <w:szCs w:val="24"/>
          <w:u w:val="none"/>
          <w:vertAlign w:val="baseline"/>
        </w:rPr>
        <w:t>2.1 修订原则</w:t>
      </w:r>
    </w:p>
    <w:p w14:paraId="26D808D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480" w:firstLineChars="200"/>
        <w:jc w:val="left"/>
        <w:textAlignment w:val="baseline"/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科学性：以实验数据为基础，验证不同消解体系对 As、Cr、Cu、B、唑类等 12 种目标组分的回收率与精密度。</w:t>
      </w:r>
    </w:p>
    <w:p w14:paraId="6C0606B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480" w:firstLineChars="200"/>
        <w:jc w:val="left"/>
        <w:textAlignment w:val="baseline"/>
      </w:pP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先进性：将验证成熟的微波消解法纳入正文本体。</w:t>
      </w:r>
    </w:p>
    <w:p w14:paraId="522246A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480" w:firstLineChars="200"/>
        <w:jc w:val="left"/>
        <w:textAlignment w:val="baseline"/>
      </w:pP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可操作性：细化称量范围、升温程序、赶酸条件，便于实验室快速复现。</w:t>
      </w:r>
    </w:p>
    <w:p w14:paraId="07EA173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480" w:firstLineChars="200"/>
        <w:jc w:val="left"/>
        <w:textAlignment w:val="baseline"/>
      </w:pP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协调性：与 GB/T 23229-2023、GB/T 27654-2023、HJ 832-2017 等现行方法无缝衔接。</w:t>
      </w:r>
    </w:p>
    <w:p w14:paraId="6515A13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20" w:afterAutospacing="0"/>
        <w:ind w:left="0" w:right="0" w:firstLine="0"/>
        <w:textAlignment w:val="baseline"/>
        <w:rPr>
          <w:rFonts w:ascii="Arial" w:hAnsi="Arial" w:eastAsia="Arial" w:cs="Arial"/>
          <w:b/>
          <w:bCs/>
          <w:i w:val="0"/>
          <w:iCs w:val="0"/>
          <w:caps w:val="0"/>
          <w:spacing w:val="0"/>
          <w:u w:val="none"/>
        </w:rPr>
      </w:pPr>
      <w:r>
        <w:rPr>
          <w:rFonts w:hint="default" w:ascii="Arial" w:hAnsi="Arial" w:eastAsia="Arial" w:cs="Arial"/>
          <w:b/>
          <w:bCs/>
          <w:i w:val="0"/>
          <w:iCs w:val="0"/>
          <w:caps w:val="0"/>
          <w:spacing w:val="0"/>
          <w:u w:val="none"/>
          <w:vertAlign w:val="baseline"/>
        </w:rPr>
        <w:t>2.2 主要技术变化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2520"/>
        <w:gridCol w:w="4750"/>
      </w:tblGrid>
      <w:tr w14:paraId="21B2652F">
        <w:tc>
          <w:tcPr>
            <w:tcW w:w="1252" w:type="dxa"/>
          </w:tcPr>
          <w:p w14:paraId="537317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类别</w:t>
            </w:r>
          </w:p>
        </w:tc>
        <w:tc>
          <w:tcPr>
            <w:tcW w:w="2520" w:type="dxa"/>
          </w:tcPr>
          <w:p w14:paraId="72BBA9D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</w:t>
            </w:r>
          </w:p>
        </w:tc>
        <w:tc>
          <w:tcPr>
            <w:tcW w:w="4750" w:type="dxa"/>
          </w:tcPr>
          <w:p w14:paraId="4EF2B9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变化说明</w:t>
            </w:r>
          </w:p>
        </w:tc>
      </w:tr>
      <w:tr w14:paraId="59397C53">
        <w:tc>
          <w:tcPr>
            <w:tcW w:w="1252" w:type="dxa"/>
          </w:tcPr>
          <w:p w14:paraId="70B0500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增加</w:t>
            </w:r>
          </w:p>
        </w:tc>
        <w:tc>
          <w:tcPr>
            <w:tcW w:w="2520" w:type="dxa"/>
          </w:tcPr>
          <w:p w14:paraId="6DA01B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微波消解法</w:t>
            </w:r>
          </w:p>
        </w:tc>
        <w:tc>
          <w:tcPr>
            <w:tcW w:w="4750" w:type="dxa"/>
          </w:tcPr>
          <w:p w14:paraId="462EF4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引用 HJ 832-2017</w:t>
            </w:r>
          </w:p>
        </w:tc>
      </w:tr>
      <w:tr w14:paraId="3FC5C7F6">
        <w:trPr>
          <w:trHeight w:val="546" w:hRule="atLeast"/>
        </w:trPr>
        <w:tc>
          <w:tcPr>
            <w:tcW w:w="1252" w:type="dxa"/>
          </w:tcPr>
          <w:p w14:paraId="49F58D4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增加</w:t>
            </w:r>
          </w:p>
        </w:tc>
        <w:tc>
          <w:tcPr>
            <w:tcW w:w="2520" w:type="dxa"/>
          </w:tcPr>
          <w:p w14:paraId="75F11B5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各消解法的设备及耗材</w:t>
            </w:r>
          </w:p>
        </w:tc>
        <w:tc>
          <w:tcPr>
            <w:tcW w:w="4750" w:type="dxa"/>
          </w:tcPr>
          <w:p w14:paraId="22E77DC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因旧标准未给出实验过程中需要的设备及耗材，现统一明确各方法使用的设备及耗材</w:t>
            </w:r>
          </w:p>
        </w:tc>
      </w:tr>
      <w:tr w14:paraId="67B460DB">
        <w:tc>
          <w:tcPr>
            <w:tcW w:w="1252" w:type="dxa"/>
          </w:tcPr>
          <w:p w14:paraId="3C7AB0D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删除</w:t>
            </w:r>
          </w:p>
        </w:tc>
        <w:tc>
          <w:tcPr>
            <w:tcW w:w="2520" w:type="dxa"/>
          </w:tcPr>
          <w:p w14:paraId="6B910DE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附录A（含水率）测定</w:t>
            </w:r>
          </w:p>
        </w:tc>
        <w:tc>
          <w:tcPr>
            <w:tcW w:w="4750" w:type="dxa"/>
          </w:tcPr>
          <w:p w14:paraId="5AF5311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与 GB/T 1927.5-2021 重复</w:t>
            </w:r>
          </w:p>
        </w:tc>
      </w:tr>
      <w:tr w14:paraId="6E08ABBD">
        <w:tc>
          <w:tcPr>
            <w:tcW w:w="1252" w:type="dxa"/>
          </w:tcPr>
          <w:p w14:paraId="2153FC2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更新</w:t>
            </w:r>
          </w:p>
        </w:tc>
        <w:tc>
          <w:tcPr>
            <w:tcW w:w="2520" w:type="dxa"/>
          </w:tcPr>
          <w:p w14:paraId="10C79B6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规范性引用</w:t>
            </w:r>
          </w:p>
        </w:tc>
        <w:tc>
          <w:tcPr>
            <w:tcW w:w="4750" w:type="dxa"/>
          </w:tcPr>
          <w:p w14:paraId="2F3C14E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GB/T 1933→GB/T 1927.5-2021；新增 HJ 832-2017</w:t>
            </w:r>
          </w:p>
        </w:tc>
      </w:tr>
      <w:tr w14:paraId="024EF630">
        <w:tc>
          <w:tcPr>
            <w:tcW w:w="1252" w:type="dxa"/>
          </w:tcPr>
          <w:p w14:paraId="09FF54B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标准名称</w:t>
            </w:r>
          </w:p>
        </w:tc>
        <w:tc>
          <w:tcPr>
            <w:tcW w:w="2520" w:type="dxa"/>
          </w:tcPr>
          <w:p w14:paraId="35A616C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标准名称</w:t>
            </w:r>
          </w:p>
        </w:tc>
        <w:tc>
          <w:tcPr>
            <w:tcW w:w="4750" w:type="dxa"/>
          </w:tcPr>
          <w:p w14:paraId="474E764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由《</w:t>
            </w:r>
            <w:r>
              <w:rPr>
                <w:rFonts w:hint="default" w:eastAsiaTheme="minorEastAsia"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防腐木材化学分析前的湿灰化方法</w:t>
            </w:r>
            <w:r>
              <w:rPr>
                <w:rFonts w:hint="eastAsia"/>
                <w:vertAlign w:val="baseline"/>
                <w:lang w:val="en-US" w:eastAsia="zh-CN"/>
              </w:rPr>
              <w:t>》改为《</w:t>
            </w:r>
            <w: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防腐木材化学分析前的消解方法</w:t>
            </w:r>
            <w:r>
              <w:rPr>
                <w:rFonts w:hint="eastAsia"/>
                <w:vertAlign w:val="baseline"/>
                <w:lang w:val="en-US" w:eastAsia="zh-CN"/>
              </w:rPr>
              <w:t>》</w:t>
            </w:r>
          </w:p>
        </w:tc>
      </w:tr>
    </w:tbl>
    <w:p w14:paraId="226C2A4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textAlignment w:val="baseline"/>
      </w:pPr>
    </w:p>
    <w:p w14:paraId="3E17BD4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20" w:afterAutospacing="0"/>
        <w:ind w:left="0" w:right="0" w:firstLine="0"/>
        <w:textAlignment w:val="baseline"/>
        <w:rPr>
          <w:rFonts w:hint="default" w:ascii="STHeiti Bold" w:hAnsi="STHeiti Bold" w:eastAsia="STHeiti Bold" w:cs="STHeiti Bold"/>
          <w:b/>
          <w:bCs/>
          <w:i w:val="0"/>
          <w:iCs w:val="0"/>
          <w:caps w:val="0"/>
          <w:spacing w:val="0"/>
          <w:sz w:val="28"/>
          <w:szCs w:val="28"/>
          <w:u w:val="none"/>
          <w:vertAlign w:val="baseline"/>
        </w:rPr>
      </w:pPr>
      <w:r>
        <w:rPr>
          <w:rFonts w:hint="default" w:ascii="STHeiti Bold" w:hAnsi="STHeiti Bold" w:eastAsia="STHeiti Bold" w:cs="STHeiti Bold"/>
          <w:b/>
          <w:bCs/>
          <w:i w:val="0"/>
          <w:iCs w:val="0"/>
          <w:caps w:val="0"/>
          <w:spacing w:val="0"/>
          <w:sz w:val="28"/>
          <w:szCs w:val="28"/>
          <w:u w:val="none"/>
          <w:vertAlign w:val="baseline"/>
        </w:rPr>
        <w:t>3 标准中涉及专利、知识产权情况说明</w:t>
      </w:r>
    </w:p>
    <w:p w14:paraId="6EFA0E08">
      <w:pPr>
        <w:spacing w:line="360" w:lineRule="auto"/>
        <w:ind w:firstLine="480"/>
        <w:jc w:val="both"/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经检索，</w:t>
      </w:r>
      <w:r>
        <w:rPr>
          <w:rFonts w:eastAsia="宋体"/>
          <w:color w:val="000000"/>
          <w:szCs w:val="28"/>
        </w:rPr>
        <w:t>本标准所列技术内容没有涉及专利和知识产权的情况。</w:t>
      </w:r>
    </w:p>
    <w:p w14:paraId="458F2686">
      <w:pPr>
        <w:keepNext w:val="0"/>
        <w:keepLines w:val="0"/>
        <w:widowControl/>
        <w:suppressLineNumbers w:val="0"/>
        <w:jc w:val="left"/>
      </w:pPr>
    </w:p>
    <w:p w14:paraId="75BF842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20" w:afterAutospacing="0"/>
        <w:ind w:left="0" w:right="0" w:firstLine="0"/>
        <w:textAlignment w:val="baseline"/>
      </w:pPr>
      <w:r>
        <w:rPr>
          <w:rFonts w:hint="eastAsia" w:ascii="STHeiti Bold" w:hAnsi="STHeiti Bold" w:eastAsia="STHeiti Bold" w:cs="STHeiti Bold"/>
          <w:b/>
          <w:bCs/>
          <w:i w:val="0"/>
          <w:iCs w:val="0"/>
          <w:caps w:val="0"/>
          <w:spacing w:val="0"/>
          <w:sz w:val="28"/>
          <w:szCs w:val="28"/>
          <w:u w:val="none"/>
          <w:vertAlign w:val="baseline"/>
          <w:lang w:val="en-US" w:eastAsia="zh-CN"/>
        </w:rPr>
        <w:t>4</w:t>
      </w:r>
      <w:r>
        <w:rPr>
          <w:rFonts w:hint="default" w:ascii="STHeiti Bold" w:hAnsi="STHeiti Bold" w:eastAsia="STHeiti Bold" w:cs="STHeiti Bold"/>
          <w:b/>
          <w:bCs/>
          <w:i w:val="0"/>
          <w:iCs w:val="0"/>
          <w:caps w:val="0"/>
          <w:spacing w:val="0"/>
          <w:sz w:val="28"/>
          <w:szCs w:val="28"/>
          <w:u w:val="none"/>
          <w:vertAlign w:val="baseline"/>
        </w:rPr>
        <w:t>与现行法律法规及相关标准的协调性</w:t>
      </w:r>
    </w:p>
    <w:p w14:paraId="04B956DB">
      <w:pPr>
        <w:keepNext w:val="0"/>
        <w:keepLines w:val="0"/>
        <w:widowControl/>
        <w:suppressLineNumbers w:val="0"/>
        <w:spacing w:line="360" w:lineRule="auto"/>
        <w:ind w:firstLine="480" w:firstLineChars="0"/>
        <w:jc w:val="both"/>
      </w:pPr>
      <w:r>
        <w:rPr>
          <w:rFonts w:hint="default" w:ascii="宋体" w:hAnsi="宋体" w:cs="宋体" w:eastAsiaTheme="minorEastAsia"/>
          <w:color w:val="000000" w:themeColor="text1"/>
          <w:kern w:val="0"/>
          <w:sz w:val="24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本标准修订后与现行国家标准 GB/T 23229-2009 《水载型木材防腐剂分析方法》，GB/T 27654 《木材防腐剂》、GB/T 40052-2021 《防腐胶合板》等相协调一致，互相补充。</w:t>
      </w:r>
    </w:p>
    <w:p w14:paraId="1C1B70BD">
      <w:pPr>
        <w:pStyle w:val="14"/>
        <w:spacing w:before="326" w:beforeLines="100" w:after="326" w:afterLines="100"/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重大意见分歧的处理依据和结果</w:t>
      </w:r>
    </w:p>
    <w:p w14:paraId="46BB3505">
      <w:pPr>
        <w:spacing w:line="360" w:lineRule="auto"/>
        <w:ind w:firstLine="480" w:firstLineChars="200"/>
        <w:jc w:val="both"/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在标准的编制过程中，</w:t>
      </w:r>
      <w:r>
        <w:rPr>
          <w:rFonts w:hint="eastAsia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标准编制组在学习相关法律法规的基础上，结合建材行业实际情况，开展了本标准的制定工作，并在研究过程中征求了</w:t>
      </w: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行业相关单位和业内专家的意见和建议，主要针对标准</w:t>
      </w:r>
      <w:r>
        <w:rPr>
          <w:rFonts w:hint="eastAsia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中对产品使用说明书的内容和适用</w:t>
      </w: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范围做了深入研讨，各家单位和行业专家结合自身的工作经验和</w:t>
      </w:r>
      <w:r>
        <w:rPr>
          <w:rFonts w:hint="eastAsia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实际调研</w:t>
      </w: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作为</w:t>
      </w:r>
      <w:r>
        <w:rPr>
          <w:rFonts w:hint="eastAsia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标准内容</w:t>
      </w:r>
      <w:r>
        <w:rPr>
          <w:rFonts w:hint="default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支撑的有力依据，最终对标准要求达成一致。编制过程中对标准的主要内容并未产生重大意见分歧。</w:t>
      </w:r>
    </w:p>
    <w:p w14:paraId="5A54F6B1">
      <w:pPr>
        <w:pStyle w:val="14"/>
        <w:spacing w:before="326" w:beforeLines="100" w:after="326" w:afterLines="100"/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标准性质的建议说明</w:t>
      </w:r>
    </w:p>
    <w:p w14:paraId="1C409677">
      <w:pPr>
        <w:spacing w:line="360" w:lineRule="auto"/>
        <w:ind w:firstLine="480" w:firstLineChars="200"/>
        <w:jc w:val="both"/>
        <w:rPr>
          <w:rFonts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建议本标准为推荐性，发布后立即实施。</w:t>
      </w:r>
    </w:p>
    <w:p w14:paraId="60A57F55">
      <w:pPr>
        <w:pStyle w:val="14"/>
        <w:spacing w:before="326" w:beforeLines="100" w:after="326" w:afterLines="100"/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贯彻标准的措施建议</w:t>
      </w:r>
    </w:p>
    <w:p w14:paraId="165F407C">
      <w:pPr>
        <w:spacing w:line="360" w:lineRule="auto"/>
        <w:ind w:firstLine="480"/>
        <w:jc w:val="both"/>
        <w:rPr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建议在本标准</w:t>
      </w:r>
      <w:r>
        <w:rPr>
          <w:rFonts w:hint="eastAsia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修订</w:t>
      </w:r>
      <w:r>
        <w:rPr>
          <w:rFonts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后，各</w:t>
      </w:r>
      <w:r>
        <w:rPr>
          <w:rFonts w:hint="eastAsia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防腐木材及防腐剂</w:t>
      </w:r>
      <w:r>
        <w:rPr>
          <w:rFonts w:hint="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生产企业</w:t>
      </w:r>
      <w:r>
        <w:rPr>
          <w:rFonts w:hint="eastAsia" w:eastAsiaTheme="minorEastAsia"/>
          <w:color w:val="000000" w:themeColor="text1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科研单位、检测机构以及地方管理部门能够依据本标准中的相关规定</w:t>
      </w:r>
      <w:r>
        <w:rPr>
          <w:rFonts w:hint="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对</w:t>
      </w:r>
      <w:r>
        <w:rPr>
          <w:rFonts w:hint="eastAsia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防腐木材及防腐剂</w:t>
      </w:r>
      <w:r>
        <w:rPr>
          <w:rFonts w:hint="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产品</w:t>
      </w:r>
      <w:r>
        <w:rPr>
          <w:rFonts w:hint="eastAsia" w:eastAsiaTheme="minor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进行取样</w:t>
      </w:r>
      <w:r>
        <w:rPr>
          <w:rFonts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color w:val="000000" w:themeColor="text1"/>
          <w:szCs w:val="28"/>
          <w14:textFill>
            <w14:solidFill>
              <w14:schemeClr w14:val="tx1"/>
            </w14:solidFill>
          </w14:textFill>
        </w:rPr>
        <w:t>具体实施措施建议如下：</w:t>
      </w:r>
    </w:p>
    <w:p w14:paraId="40C0C59D">
      <w:pPr>
        <w:spacing w:line="360" w:lineRule="auto"/>
        <w:ind w:firstLine="480"/>
        <w:jc w:val="both"/>
        <w:rPr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8"/>
          <w14:textFill>
            <w14:solidFill>
              <w14:schemeClr w14:val="tx1"/>
            </w14:solidFill>
          </w14:textFill>
        </w:rPr>
        <w:t>（1）标准归口单位进行贯标指导，组织标准宣贯培训班，由标准制定人员主讲。设立专门的答疑或咨询部门或网站，为贯标企业排忧解难，组织有关人员积极参加行业协会组织的各项活动，培训班等。及时了解标准制、修订信息。</w:t>
      </w:r>
    </w:p>
    <w:p w14:paraId="3E69F7A5">
      <w:pPr>
        <w:spacing w:line="360" w:lineRule="auto"/>
        <w:ind w:firstLine="480"/>
        <w:jc w:val="both"/>
        <w:rPr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8"/>
          <w14:textFill>
            <w14:solidFill>
              <w14:schemeClr w14:val="tx1"/>
            </w14:solidFill>
          </w14:textFill>
        </w:rPr>
        <w:t>（3）鼓励行业相关企业</w:t>
      </w:r>
      <w:r>
        <w:rPr>
          <w:rFonts w:hint="eastAsia"/>
          <w:color w:val="000000" w:themeColor="text1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科研单位和检测机构</w:t>
      </w:r>
      <w:r>
        <w:rPr>
          <w:color w:val="000000" w:themeColor="text1"/>
          <w:szCs w:val="28"/>
          <w14:textFill>
            <w14:solidFill>
              <w14:schemeClr w14:val="tx1"/>
            </w14:solidFill>
          </w14:textFill>
        </w:rPr>
        <w:t>成立标准贯彻实施小组，组员由标准化技术人员、产品主管设计人员、工艺主管设计人员、检验人员、车间技术人员等工作人员组成，进行明确的分工合作，适时组织标准宣贯会，使</w:t>
      </w:r>
      <w:r>
        <w:rPr>
          <w:rFonts w:hint="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企业能够顺利</w:t>
      </w:r>
      <w:r>
        <w:rPr>
          <w:color w:val="000000" w:themeColor="text1"/>
          <w:szCs w:val="28"/>
          <w14:textFill>
            <w14:solidFill>
              <w14:schemeClr w14:val="tx1"/>
            </w14:solidFill>
          </w14:textFill>
        </w:rPr>
        <w:t>执行标准</w:t>
      </w:r>
      <w:r>
        <w:rPr>
          <w:rFonts w:hint="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，科学开展</w:t>
      </w:r>
      <w:r>
        <w:rPr>
          <w:rFonts w:hint="eastAsia"/>
          <w:color w:val="000000" w:themeColor="text1"/>
          <w:szCs w:val="28"/>
          <w:lang w:val="en-US" w:eastAsia="zh-CN"/>
          <w14:textFill>
            <w14:solidFill>
              <w14:schemeClr w14:val="tx1"/>
            </w14:solidFill>
          </w14:textFill>
        </w:rPr>
        <w:t>产品质检前的取样工作</w:t>
      </w:r>
      <w:r>
        <w:rPr>
          <w:color w:val="000000" w:themeColor="text1"/>
          <w:szCs w:val="28"/>
          <w14:textFill>
            <w14:solidFill>
              <w14:schemeClr w14:val="tx1"/>
            </w14:solidFill>
          </w14:textFill>
        </w:rPr>
        <w:t>。</w:t>
      </w:r>
    </w:p>
    <w:p w14:paraId="024E4618">
      <w:pPr>
        <w:spacing w:line="360" w:lineRule="auto"/>
        <w:ind w:firstLine="480"/>
        <w:jc w:val="both"/>
        <w:rPr>
          <w:rFonts w:eastAsiaTheme="minorEastAsia"/>
          <w:b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8"/>
          <w14:textFill>
            <w14:solidFill>
              <w14:schemeClr w14:val="tx1"/>
            </w14:solidFill>
          </w14:textFill>
        </w:rPr>
        <w:t>（4）标准化技术人员全面负责贯标实施工作，跟踪服务对贯标中出现的技术问题进行协调处理</w:t>
      </w:r>
      <w:r>
        <w:rPr>
          <w:rFonts w:hint="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并</w:t>
      </w:r>
      <w:r>
        <w:rPr>
          <w:color w:val="000000" w:themeColor="text1"/>
          <w:szCs w:val="28"/>
          <w14:textFill>
            <w14:solidFill>
              <w14:schemeClr w14:val="tx1"/>
            </w14:solidFill>
          </w14:textFill>
        </w:rPr>
        <w:t>作好贯标记录，并进行长期监督检查工作。</w:t>
      </w:r>
    </w:p>
    <w:p w14:paraId="0FE3AF55">
      <w:pPr>
        <w:pStyle w:val="14"/>
        <w:spacing w:before="326" w:beforeLines="100" w:after="326" w:afterLines="100"/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Toc32671"/>
      <w:r>
        <w:rPr>
          <w:rFonts w:hint="eastAsia" w:ascii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废止现行有关标准的建议</w:t>
      </w:r>
      <w:bookmarkEnd w:id="0"/>
    </w:p>
    <w:p w14:paraId="2CCA1498">
      <w:pPr>
        <w:spacing w:line="360" w:lineRule="auto"/>
        <w:ind w:firstLine="480"/>
        <w:jc w:val="both"/>
        <w:rPr>
          <w:rFonts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无。</w:t>
      </w:r>
    </w:p>
    <w:p w14:paraId="5F84C4FD">
      <w:pPr>
        <w:pStyle w:val="14"/>
        <w:spacing w:before="326" w:beforeLines="100" w:after="326" w:afterLines="100"/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" w:name="_Toc19543"/>
      <w:r>
        <w:rPr>
          <w:rFonts w:hint="eastAsia" w:ascii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其他应说明的事项</w:t>
      </w:r>
      <w:bookmarkEnd w:id="1"/>
    </w:p>
    <w:p w14:paraId="0385F97A">
      <w:pPr>
        <w:spacing w:line="360" w:lineRule="auto"/>
        <w:ind w:firstLine="495"/>
        <w:jc w:val="both"/>
        <w:rPr>
          <w:rFonts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无。</w:t>
      </w:r>
    </w:p>
    <w:p w14:paraId="3E0F811A">
      <w:pPr>
        <w:jc w:val="both"/>
        <w:rPr>
          <w:rFonts w:hint="default" w:ascii="方正小标宋简体" w:eastAsia="方正小标宋简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THeiti Bold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yYTEyOGQ2YTViMWExMWRkMTA3MmZiZGNjYzU4YmEifQ=="/>
  </w:docVars>
  <w:rsids>
    <w:rsidRoot w:val="29DF0588"/>
    <w:rsid w:val="1EBD0BFD"/>
    <w:rsid w:val="2195293B"/>
    <w:rsid w:val="29DF0588"/>
    <w:rsid w:val="2F397023"/>
    <w:rsid w:val="31D73CE6"/>
    <w:rsid w:val="34FF5E2E"/>
    <w:rsid w:val="57EE32CD"/>
    <w:rsid w:val="67BF02EA"/>
    <w:rsid w:val="7D779876"/>
    <w:rsid w:val="7DDF72F5"/>
    <w:rsid w:val="7E3BD08A"/>
    <w:rsid w:val="7E990AC0"/>
    <w:rsid w:val="7FAFC878"/>
    <w:rsid w:val="95B7FAD8"/>
    <w:rsid w:val="A71F3A87"/>
    <w:rsid w:val="AFD40A33"/>
    <w:rsid w:val="DEFFB671"/>
    <w:rsid w:val="F7FD1690"/>
    <w:rsid w:val="FFE9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uiPriority w:val="0"/>
    <w:pPr>
      <w:jc w:val="left"/>
    </w:p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toc 2"/>
    <w:basedOn w:val="1"/>
    <w:next w:val="1"/>
    <w:unhideWhenUsed/>
    <w:qFormat/>
    <w:uiPriority w:val="39"/>
    <w:pPr>
      <w:ind w:left="420" w:left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paragraph" w:customStyle="1" w:styleId="13">
    <w:name w:val="一级条标题"/>
    <w:next w:val="1"/>
    <w:qFormat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4">
    <w:name w:val="章标题"/>
    <w:next w:val="1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1866</Words>
  <Characters>2037</Characters>
  <Lines>0</Lines>
  <Paragraphs>0</Paragraphs>
  <TotalTime>0</TotalTime>
  <ScaleCrop>false</ScaleCrop>
  <LinksUpToDate>false</LinksUpToDate>
  <CharactersWithSpaces>2110</CharactersWithSpaces>
  <Application>WPS Office_12.1.21861.21861_F1E327BC-269C-435d-A152-05C5408002CA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2025-03-05T05:26:00Z</dcterms:created>
  <dc:creator>报告！我是小男神 </dc:creator>
  <cp:lastModifiedBy>白乙含</cp:lastModifiedBy>
  <dcterms:modified xsi:type="dcterms:W3CDTF">2025-09-12T14:17:00Z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2052-12.1.21861.21861</vt:lpwstr>
  </property>
  <property fmtid="{D5CDD505-2E9C-101B-9397-08002B2CF9AE}" pid="3" name="ICV">
    <vt:lpwstr>008682A4E02C45538DF96A1A6078FA9A_13</vt:lpwstr>
  </property>
  <property fmtid="{D5CDD505-2E9C-101B-9397-08002B2CF9AE}" pid="4" name="KSOTemplateDocerSaveRecord">
    <vt:lpwstr>eyJoZGlkIjoiNGRlNWE1Y2Y1OGY2MjE4Y2ZlZTljZmEzOWZkM2Q5ZTgiLCJ1c2VySWQiOiIxNDQ3NzcxMDU2In0=</vt:lpwstr>
  </property>
</Properties>
</file>